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976892994" name="Picture">
</wp:docPr>
                  <a:graphic>
                    <a:graphicData uri="http://schemas.openxmlformats.org/drawingml/2006/picture">
                      <pic:pic>
                        <pic:nvPicPr>
                          <pic:cNvPr id="1976892994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2032727398" name="Picture">
</wp:docPr>
                  <a:graphic>
                    <a:graphicData uri="http://schemas.openxmlformats.org/drawingml/2006/picture">
                      <pic:pic>
                        <pic:nvPicPr>
                          <pic:cNvPr id="2032727398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"АГРОТРАНСПОРТ", Место нахождения: 422483, Россия, Республика Татарстан, Дрожжановский район, с Нижнее Чекурское, ул. Полевая, д.1, ОГРН: 1121673001735, Номер телефона: +7 8435005062, Адрес электронной почты: office@agro-transport.ru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Бариев Дамир Рашидович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Ягоды свежие: смородина черная, смородина красная, смородина белая. , Упакована в потребительскую упаковку из полимерных и комбинированных материалов, формованного бумажного волокна от 100 грамм до 1000 грамм, в транспортную упаковку из гофрированного картона от 1 килограмма до 10 килограммов.</w:t>
              <w:br/>
            </w: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ОБЩЕСТВО С ОГРАНИЧЕННОЙ ОТВЕТСТВЕННОСТЬЮ "АГРОТРАНСПОРТ", Место нахождения: 422483, Россия, Республика Татарстан, Дрожжановский район, с Нижнее Чекурское, ул. Полевая, д.1, Адрес места осуществления деятельности по изготовлению продукции: 422483, Россия, Республика Татарстан, Дрожжановский район, с Нижнее Чекурское, ул. Полевая, д.1</w:t>
              <w:br/>
              <w:t xml:space="preserve">Документ, в соответствии с которым изготовлена продукция: Продукция изготовлена в соответствии с с ГОСТ 6829-2015 «Смородина черная свежая. Технические условия»  ГОСТ 33954-2016 «Смородина красная и белая свежая. Технические условия»</w:t>
              <w:br/>
              <w:t xml:space="preserve">Коды ТН ВЭД ЕАЭС: 0810301000; 0810303000; 0810309000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ТС 021/2011 О безопасности пищевой продукции; ТР ТС 022/2011 Пищевая продукция в части ее маркировки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ИЛФОБОС-1407-2022/2100 выдан 14.07.2022  испытательной лабораторией "Испытательная лаборатория Общество с Ограниченной Ответственностью "ФОБОС", аттестат аккредитации  № ST.RU.0001.А0003320";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17.07.2025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Бариев Дамир Рашидович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Д-RU.РА04.В.95963/22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19.07.2022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